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04" w:rsidRPr="00357F2D" w:rsidRDefault="00931504" w:rsidP="00357F2D">
      <w:pPr>
        <w:shd w:val="clear" w:color="auto" w:fill="FAFBFB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50503"/>
          <w:sz w:val="24"/>
          <w:szCs w:val="24"/>
          <w:lang w:eastAsia="ru-RU"/>
        </w:rPr>
      </w:pPr>
      <w:r w:rsidRPr="00357F2D">
        <w:rPr>
          <w:rFonts w:ascii="Times New Roman" w:eastAsia="Times New Roman" w:hAnsi="Times New Roman" w:cs="Times New Roman"/>
          <w:b/>
          <w:color w:val="050503"/>
          <w:sz w:val="24"/>
          <w:szCs w:val="24"/>
          <w:lang w:eastAsia="ru-RU"/>
        </w:rPr>
        <w:t>Основные этапы и сроки рассмотрения заявок на технологическое присоединение к электрическим сетям сетевой организации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609"/>
        <w:gridCol w:w="5176"/>
      </w:tblGrid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357F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357F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Содержание/условия этапа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357F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исполнения. Технологическое присоединение к электрическим сетям сетевой организации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заявителем заявки на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357F2D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З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357F2D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3002C6" w:rsidRDefault="00931504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1504" w:rsidRPr="00357F2D" w:rsidRDefault="00931504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</w:t>
            </w:r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357F2D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10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рабочих 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дней</w:t>
            </w:r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момента </w:t>
            </w:r>
            <w:proofErr w:type="gramStart"/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  <w:proofErr w:type="gramEnd"/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заявителя – до 150 кВт по одному источнику питания</w:t>
            </w:r>
          </w:p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1504" w:rsidRPr="00357F2D" w:rsidRDefault="00357F2D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рабочих 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дней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приема 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от заявителя – до 8900 кВт более чем по одному источнику питания</w:t>
            </w:r>
          </w:p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04" w:rsidRPr="00357F2D" w:rsidRDefault="00357F2D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7 рабочих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дней</w:t>
            </w:r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момента приема з</w:t>
            </w:r>
            <w:r w:rsidR="00931504"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 от заявителя - в целях временного технологического присоединения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</w:tcPr>
          <w:p w:rsidR="003002C6" w:rsidRPr="00357F2D" w:rsidRDefault="003002C6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</w:tcPr>
          <w:p w:rsidR="003002C6" w:rsidRPr="00357F2D" w:rsidRDefault="003002C6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</w:tcPr>
          <w:p w:rsidR="003002C6" w:rsidRPr="00357F2D" w:rsidRDefault="003002C6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рабочих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  <w:proofErr w:type="gram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заявителя – до 150 кВт по одному источнику питания</w:t>
            </w:r>
          </w:p>
          <w:p w:rsidR="003002C6" w:rsidRPr="00357F2D" w:rsidRDefault="003002C6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2C6" w:rsidRPr="00357F2D" w:rsidRDefault="003002C6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рабочих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момента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  <w:proofErr w:type="gram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заявителя – до 8900 кВт более чем по одному источнику питания</w:t>
            </w:r>
          </w:p>
          <w:p w:rsidR="003002C6" w:rsidRPr="00357F2D" w:rsidRDefault="003002C6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2C6" w:rsidRPr="00357F2D" w:rsidRDefault="003002C6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рабочих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момента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  <w:proofErr w:type="gram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заявителя - в целях временного технологического присоединения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</w:tcPr>
          <w:p w:rsidR="003002C6" w:rsidRPr="00357F2D" w:rsidRDefault="003002C6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</w:tcPr>
          <w:p w:rsidR="003002C6" w:rsidRPr="00357F2D" w:rsidRDefault="003002C6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адрес Заявителя проекта договора и технических условий (в бумажном виде)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</w:tcPr>
          <w:p w:rsidR="003002C6" w:rsidRPr="00357F2D" w:rsidRDefault="003002C6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рабочих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приема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укомплектованной заявки от заявителя – до 150 кВт по одному источнику питания</w:t>
            </w:r>
          </w:p>
          <w:p w:rsidR="003002C6" w:rsidRPr="00357F2D" w:rsidRDefault="003002C6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2C6" w:rsidRPr="00357F2D" w:rsidRDefault="003002C6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 позднее 30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рабочих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момента приема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от заявителя – до 8900 кВт более чем по одному источнику питания</w:t>
            </w:r>
          </w:p>
          <w:p w:rsidR="003002C6" w:rsidRPr="00357F2D" w:rsidRDefault="003002C6" w:rsidP="003002C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2C6" w:rsidRDefault="003002C6" w:rsidP="00300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 течение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рабочих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момента приема 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от заявителя - в целях временного технологического присоединения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заявителем договора и технических условий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30 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 получения подписанного сетевой организацией договора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сетевой организацией и заявителем </w:t>
            </w:r>
            <w:proofErr w:type="gram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техническими условиями и договором</w:t>
            </w:r>
            <w:r w:rsidR="0030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подписания договора)</w:t>
            </w:r>
          </w:p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выполнения мероприятий по тех</w:t>
            </w:r>
            <w:bookmarkStart w:id="0" w:name="_GoBack"/>
            <w:bookmarkEnd w:id="0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нологическому присоединению и срока действия технических условий</w:t>
            </w:r>
          </w:p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мероприятий по технологическому присоединению исчисляется со дня заключения договора и не может превышать:</w:t>
            </w:r>
          </w:p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и (или) объектов электроэнергетики: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15 рабочих 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временном технологическом присоединении;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 месяца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для заявителей, максимальная мощность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которых составляет до 670 кВт включительно;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год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для заявителей, максимальная мощность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которых составляет свыше 670 кВт;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 иных случаях: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15 рабочих 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при временном технологическом присоединении заявителей,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которых являются передвижными и имеют максимальную мощность до 150 кВт включительно, если расстояние от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заявителя до существующих электрических сетей необходимого класса напряжения составляет не более 300 метров;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6 месяцев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для заявителей, максимальная мощность которых составляет до 150 кВт включительно по одному источнику питания, а также при осуществлении технологического присоединения посредством перераспределения максимальной мощности, если технологическое присоединение осуществляется к электрическим сетям, уровень напряжения которых составляет до 20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местности;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год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для заявителей, максимальная мощность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 года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для заявителей, максимальная мощность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сторон.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технических условий и осмотр электроустановок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10 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 получения уведомления о выполнении технических условий и предоставления комплекта документов, предусмотренных Правилами</w:t>
            </w:r>
          </w:p>
          <w:p w:rsidR="00931504" w:rsidRPr="00357F2D" w:rsidRDefault="00931504" w:rsidP="0093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 более 25 дней</w:t>
            </w: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даты получения уведомления о выполнении технических условий и предоставления комплекта документов, предусмотренных Правилами в случае если технические условия подлежали согласованию с системным оператором (Московское </w:t>
            </w:r>
            <w:proofErr w:type="spell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РДУ</w:t>
            </w:r>
            <w:proofErr w:type="spell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02C6" w:rsidRPr="00357F2D" w:rsidTr="00931504"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Pr="00357F2D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proofErr w:type="gramEnd"/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подтверждающей технологическое присоединение</w:t>
            </w:r>
          </w:p>
        </w:tc>
        <w:tc>
          <w:tcPr>
            <w:tcW w:w="0" w:type="auto"/>
            <w:tcBorders>
              <w:top w:val="single" w:sz="6" w:space="0" w:color="E2E4E5"/>
              <w:left w:val="single" w:sz="6" w:space="0" w:color="E2E4E5"/>
              <w:bottom w:val="single" w:sz="6" w:space="0" w:color="E2E4E5"/>
              <w:right w:val="single" w:sz="6" w:space="0" w:color="E2E4E5"/>
            </w:tcBorders>
            <w:hideMark/>
          </w:tcPr>
          <w:p w:rsidR="00931504" w:rsidRDefault="00931504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мероприятий по техн</w:t>
            </w:r>
            <w:r w:rsidR="003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ологическому присоединению</w:t>
            </w:r>
          </w:p>
          <w:p w:rsidR="00357F2D" w:rsidRPr="00357F2D" w:rsidRDefault="00357F2D" w:rsidP="009315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F9E" w:rsidRPr="00357F2D" w:rsidRDefault="006B1F9E">
      <w:pPr>
        <w:rPr>
          <w:rFonts w:ascii="Times New Roman" w:hAnsi="Times New Roman" w:cs="Times New Roman"/>
          <w:sz w:val="24"/>
          <w:szCs w:val="24"/>
        </w:rPr>
      </w:pPr>
    </w:p>
    <w:sectPr w:rsidR="006B1F9E" w:rsidRPr="0035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04"/>
    <w:rsid w:val="003002C6"/>
    <w:rsid w:val="00357F2D"/>
    <w:rsid w:val="006B1F9E"/>
    <w:rsid w:val="00931504"/>
    <w:rsid w:val="00B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405F8-6CE0-4562-B8C6-DF8BCDF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63B9-AA14-4686-9ECB-48BAC212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Лотова Ирина Сергеевна</cp:lastModifiedBy>
  <cp:revision>2</cp:revision>
  <dcterms:created xsi:type="dcterms:W3CDTF">2018-10-11T05:52:00Z</dcterms:created>
  <dcterms:modified xsi:type="dcterms:W3CDTF">2018-10-11T12:48:00Z</dcterms:modified>
</cp:coreProperties>
</file>